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5E0" w:rsidRDefault="00F365E0" w:rsidP="008F5BE4">
      <w:pPr>
        <w:pStyle w:val="Heading1"/>
        <w:rPr>
          <w:rFonts w:cs="Times New Roman"/>
          <w:sz w:val="28"/>
          <w:szCs w:val="28"/>
        </w:rPr>
      </w:pPr>
      <w:r w:rsidRPr="008F5BE4">
        <w:rPr>
          <w:sz w:val="28"/>
          <w:szCs w:val="28"/>
        </w:rPr>
        <w:t>Logística do Hidrogénio - Norma ISO/TS 19880-1:2016 em revisão</w:t>
      </w:r>
      <w:bookmarkStart w:id="0" w:name="_GoBack"/>
      <w:bookmarkEnd w:id="0"/>
    </w:p>
    <w:p w:rsidR="00F365E0" w:rsidRPr="008F5BE4" w:rsidRDefault="00F365E0" w:rsidP="008F5BE4"/>
    <w:p w:rsidR="00F365E0" w:rsidRPr="00AF4DEA" w:rsidRDefault="00F365E0" w:rsidP="00AF4DEA">
      <w:r>
        <w:t xml:space="preserve">A </w:t>
      </w:r>
      <w:r w:rsidRPr="00AF4DEA">
        <w:t>ISO / TS 19880-1: 2016 recomenda as características mínimas de projeto para a segurança e, quando apropriado, para o desempenho de estações de abasteci</w:t>
      </w:r>
      <w:r>
        <w:t xml:space="preserve">mento público e não público de </w:t>
      </w:r>
      <w:r w:rsidRPr="00AF4DEA">
        <w:t>hidrogênio gasoso para veículos Veículos Elétricos de Pilha de Combustível</w:t>
      </w:r>
    </w:p>
    <w:p w:rsidR="00F365E0" w:rsidRDefault="00F365E0" w:rsidP="00EF2967">
      <w:r>
        <w:t>Esta Norma aborda as especificações necessárias ao projecto e construção de uma estação de serviço para abastecimento de Hidrogénio e logística associada: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sistema de produção / entrega de hidrogênio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entrega de hidrogênio por gasoduto, caminhão em hidrogênio gasoso e / ou líquido, ou reboques de armazenamento de hidreto metálico;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geradores locais de hidrogênio usando o processo de eletrólise da água ou tecnologias de processamento de combustível;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armazenamento de hidrogénio líquido;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sistemas de purificação de hidrogénio, conforme aplicável;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compressão gasosa de hidrogênio;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bombas e vaporizadores;</w:t>
      </w:r>
    </w:p>
    <w:p w:rsidR="00F365E0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dispositivos de pré-arrefecimento;</w:t>
      </w:r>
    </w:p>
    <w:p w:rsidR="00F365E0" w:rsidRPr="00AF4DEA" w:rsidRDefault="00F365E0" w:rsidP="00987C78">
      <w:pPr>
        <w:pStyle w:val="ListParagraph"/>
        <w:numPr>
          <w:ilvl w:val="0"/>
          <w:numId w:val="5"/>
        </w:numPr>
        <w:spacing w:line="276" w:lineRule="auto"/>
      </w:pPr>
      <w:r>
        <w:t>dispensadores de hidrogênio gasoso.</w:t>
      </w:r>
    </w:p>
    <w:p w:rsidR="00F365E0" w:rsidRPr="008F5BE4" w:rsidRDefault="00F365E0" w:rsidP="00AF4DEA">
      <w:pPr>
        <w:spacing w:after="0" w:line="240" w:lineRule="auto"/>
        <w:rPr>
          <w:rFonts w:ascii="Helvetica" w:hAnsi="Helvetica" w:cs="Helvetica"/>
          <w:b/>
          <w:bCs/>
          <w:color w:val="333333"/>
          <w:sz w:val="24"/>
          <w:szCs w:val="24"/>
          <w:lang w:val="en-GB" w:eastAsia="pt-PT"/>
        </w:rPr>
      </w:pPr>
      <w:r w:rsidRPr="008F5BE4">
        <w:rPr>
          <w:b/>
          <w:bCs/>
          <w:color w:val="212121"/>
          <w:shd w:val="clear" w:color="auto" w:fill="FFFFFF"/>
          <w:lang w:val="en-GB"/>
        </w:rPr>
        <w:t> ISO standard </w:t>
      </w:r>
      <w:r w:rsidRPr="008F5BE4">
        <w:rPr>
          <w:b/>
          <w:bCs/>
          <w:color w:val="3B3838"/>
          <w:shd w:val="clear" w:color="auto" w:fill="FFFFFF"/>
          <w:lang w:val="en-GB"/>
        </w:rPr>
        <w:t> </w:t>
      </w:r>
      <w:hyperlink r:id="rId5" w:tgtFrame="_blank" w:history="1">
        <w:r w:rsidRPr="008F5BE4">
          <w:rPr>
            <w:rStyle w:val="Hyperlink"/>
            <w:b/>
            <w:bCs/>
            <w:shd w:val="clear" w:color="auto" w:fill="FFFFFF"/>
            <w:lang w:val="en-GB"/>
          </w:rPr>
          <w:t>Technical Specification ISO/TS 19880-1</w:t>
        </w:r>
      </w:hyperlink>
      <w:r w:rsidRPr="008F5BE4">
        <w:rPr>
          <w:b/>
          <w:bCs/>
          <w:color w:val="3B3838"/>
          <w:sz w:val="28"/>
          <w:szCs w:val="28"/>
          <w:shd w:val="clear" w:color="auto" w:fill="FFFFFF"/>
          <w:lang w:val="en-GB"/>
        </w:rPr>
        <w:t>,</w:t>
      </w:r>
      <w:r w:rsidRPr="008F5BE4">
        <w:rPr>
          <w:rFonts w:ascii="Helvetica" w:hAnsi="Helvetica" w:cs="Helvetica"/>
          <w:b/>
          <w:bCs/>
          <w:color w:val="333333"/>
          <w:sz w:val="24"/>
          <w:szCs w:val="24"/>
          <w:lang w:val="en-GB" w:eastAsia="pt-PT"/>
        </w:rPr>
        <w:br/>
      </w:r>
      <w:r w:rsidRPr="008F5BE4">
        <w:rPr>
          <w:rFonts w:ascii="Helvetica" w:hAnsi="Helvetica" w:cs="Helvetica"/>
          <w:b/>
          <w:bCs/>
          <w:color w:val="333333"/>
          <w:sz w:val="24"/>
          <w:szCs w:val="24"/>
          <w:lang w:val="en-GB" w:eastAsia="pt-PT"/>
        </w:rPr>
        <w:br/>
      </w:r>
    </w:p>
    <w:p w:rsidR="00F365E0" w:rsidRPr="008F5BE4" w:rsidRDefault="00F365E0" w:rsidP="00AF4DEA">
      <w:pPr>
        <w:spacing w:after="0" w:line="240" w:lineRule="auto"/>
        <w:ind w:left="270"/>
        <w:rPr>
          <w:rFonts w:ascii="Helvetica" w:hAnsi="Helvetica" w:cs="Helvetica"/>
          <w:color w:val="333333"/>
          <w:sz w:val="24"/>
          <w:szCs w:val="24"/>
          <w:lang w:val="en-GB" w:eastAsia="pt-PT"/>
        </w:rPr>
      </w:pPr>
      <w:r w:rsidRPr="008F5BE4">
        <w:rPr>
          <w:rFonts w:ascii="Helvetica" w:hAnsi="Helvetica" w:cs="Helvetica"/>
          <w:color w:val="333333"/>
          <w:sz w:val="24"/>
          <w:szCs w:val="24"/>
          <w:lang w:val="en-GB" w:eastAsia="pt-PT"/>
        </w:rPr>
        <w:t> </w:t>
      </w:r>
    </w:p>
    <w:p w:rsidR="00F365E0" w:rsidRPr="008F5BE4" w:rsidRDefault="00F365E0">
      <w:pPr>
        <w:rPr>
          <w:lang w:val="en-GB"/>
        </w:rPr>
      </w:pPr>
    </w:p>
    <w:sectPr w:rsidR="00F365E0" w:rsidRPr="008F5BE4" w:rsidSect="00FC53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7C96"/>
    <w:multiLevelType w:val="multilevel"/>
    <w:tmpl w:val="93B29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201160CC"/>
    <w:multiLevelType w:val="multilevel"/>
    <w:tmpl w:val="88360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D022CF5"/>
    <w:multiLevelType w:val="hybridMultilevel"/>
    <w:tmpl w:val="C97A010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53E23EFB"/>
    <w:multiLevelType w:val="multilevel"/>
    <w:tmpl w:val="E7AA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649A30A2"/>
    <w:multiLevelType w:val="multilevel"/>
    <w:tmpl w:val="F338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DEA"/>
    <w:rsid w:val="008F5BE4"/>
    <w:rsid w:val="00987C78"/>
    <w:rsid w:val="00AF4DEA"/>
    <w:rsid w:val="00B5103F"/>
    <w:rsid w:val="00B573ED"/>
    <w:rsid w:val="00CE64D8"/>
    <w:rsid w:val="00EF2967"/>
    <w:rsid w:val="00F365E0"/>
    <w:rsid w:val="00FC5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351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F5BE4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F5496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E4"/>
    <w:rPr>
      <w:rFonts w:ascii="Calibri Light" w:hAnsi="Calibri Light" w:cs="Calibri Light"/>
      <w:color w:val="2F5496"/>
      <w:sz w:val="32"/>
      <w:szCs w:val="32"/>
    </w:rPr>
  </w:style>
  <w:style w:type="paragraph" w:styleId="ListParagraph">
    <w:name w:val="List Paragraph"/>
    <w:basedOn w:val="Normal"/>
    <w:uiPriority w:val="99"/>
    <w:qFormat/>
    <w:rsid w:val="00EF2967"/>
    <w:pPr>
      <w:ind w:left="720"/>
    </w:pPr>
  </w:style>
  <w:style w:type="character" w:styleId="Hyperlink">
    <w:name w:val="Hyperlink"/>
    <w:basedOn w:val="DefaultParagraphFont"/>
    <w:uiPriority w:val="99"/>
    <w:semiHidden/>
    <w:rsid w:val="008F5B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93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9187">
          <w:marLeft w:val="-450"/>
          <w:marRight w:val="-45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23" w:color="ECECEC"/>
            <w:right w:val="none" w:sz="0" w:space="0" w:color="auto"/>
          </w:divBdr>
          <w:divsChild>
            <w:div w:id="166693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22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939200">
          <w:marLeft w:val="-450"/>
          <w:marRight w:val="-450"/>
          <w:marTop w:val="225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3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9392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208">
                  <w:marLeft w:val="0"/>
                  <w:marRight w:val="0"/>
                  <w:marTop w:val="0"/>
                  <w:marBottom w:val="288"/>
                  <w:divBdr>
                    <w:top w:val="single" w:sz="6" w:space="15" w:color="EEEEEE"/>
                    <w:left w:val="single" w:sz="6" w:space="15" w:color="EEEEEE"/>
                    <w:bottom w:val="single" w:sz="6" w:space="8" w:color="EEEEEE"/>
                    <w:right w:val="single" w:sz="6" w:space="15" w:color="EEEEEE"/>
                  </w:divBdr>
                  <w:divsChild>
                    <w:div w:id="1666939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1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2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93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939248">
              <w:marLeft w:val="14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206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3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939237">
                  <w:marLeft w:val="0"/>
                  <w:marRight w:val="0"/>
                  <w:marTop w:val="0"/>
                  <w:marBottom w:val="288"/>
                  <w:divBdr>
                    <w:top w:val="single" w:sz="6" w:space="15" w:color="EEEEEE"/>
                    <w:left w:val="single" w:sz="6" w:space="15" w:color="EEEEEE"/>
                    <w:bottom w:val="single" w:sz="6" w:space="8" w:color="EEEEEE"/>
                    <w:right w:val="single" w:sz="6" w:space="15" w:color="EEEEEE"/>
                  </w:divBdr>
                  <w:divsChild>
                    <w:div w:id="166693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81">
                          <w:marLeft w:val="-315"/>
                          <w:marRight w:val="-3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693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9391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9196">
              <w:marLeft w:val="14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195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3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939214">
                  <w:marLeft w:val="0"/>
                  <w:marRight w:val="0"/>
                  <w:marTop w:val="0"/>
                  <w:marBottom w:val="288"/>
                  <w:divBdr>
                    <w:top w:val="single" w:sz="6" w:space="15" w:color="EEEEEE"/>
                    <w:left w:val="single" w:sz="6" w:space="15" w:color="EEEEEE"/>
                    <w:bottom w:val="single" w:sz="6" w:space="8" w:color="EEEEEE"/>
                    <w:right w:val="single" w:sz="6" w:space="15" w:color="EEEEEE"/>
                  </w:divBdr>
                  <w:divsChild>
                    <w:div w:id="166693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89">
                          <w:marLeft w:val="-315"/>
                          <w:marRight w:val="-3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693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201">
                  <w:marLeft w:val="0"/>
                  <w:marRight w:val="0"/>
                  <w:marTop w:val="0"/>
                  <w:marBottom w:val="288"/>
                  <w:divBdr>
                    <w:top w:val="single" w:sz="6" w:space="15" w:color="EEEEEE"/>
                    <w:left w:val="single" w:sz="6" w:space="15" w:color="EEEEEE"/>
                    <w:bottom w:val="single" w:sz="6" w:space="8" w:color="EEEEEE"/>
                    <w:right w:val="single" w:sz="6" w:space="15" w:color="EEEEEE"/>
                  </w:divBdr>
                  <w:divsChild>
                    <w:div w:id="166693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1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93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93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693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939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93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939184">
          <w:marLeft w:val="-450"/>
          <w:marRight w:val="-450"/>
          <w:marTop w:val="225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93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3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6939211">
          <w:marLeft w:val="-450"/>
          <w:marRight w:val="-45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23" w:color="ECECEC"/>
            <w:right w:val="none" w:sz="0" w:space="0" w:color="auto"/>
          </w:divBdr>
          <w:divsChild>
            <w:div w:id="166693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91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so.org/iso/catalogue_detail.htm?csnumber=65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178</Words>
  <Characters>965</Characters>
  <Application>Microsoft Office Outlook</Application>
  <DocSecurity>0</DocSecurity>
  <Lines>0</Lines>
  <Paragraphs>0</Paragraphs>
  <ScaleCrop>false</ScaleCrop>
  <Company>AP2H2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Logística do Hidrogénio - Norma ISO/TS 19880-1:2016 em revisão</dc:title>
  <dc:subject/>
  <dc:creator>Campos Rodrigues</dc:creator>
  <cp:keywords/>
  <dc:description/>
  <cp:lastModifiedBy>AP2H2</cp:lastModifiedBy>
  <cp:revision>2</cp:revision>
  <dcterms:created xsi:type="dcterms:W3CDTF">2017-09-11T14:02:00Z</dcterms:created>
  <dcterms:modified xsi:type="dcterms:W3CDTF">2017-09-11T14:02:00Z</dcterms:modified>
</cp:coreProperties>
</file>